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A803B4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8.7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B1BF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</w:t>
      </w:r>
      <w:bookmarkStart w:id="1" w:name="_GoBack"/>
      <w:bookmarkEnd w:id="1"/>
      <w:r w:rsidR="001D0768">
        <w:rPr>
          <w:bCs/>
          <w:sz w:val="28"/>
          <w:szCs w:val="28"/>
        </w:rPr>
        <w:t>декабря</w:t>
      </w:r>
      <w:r w:rsidR="00135407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 w:rsidR="00135407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180</w:t>
      </w:r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714A9D">
              <w:rPr>
                <w:kern w:val="2"/>
                <w:sz w:val="28"/>
                <w:szCs w:val="28"/>
              </w:rPr>
              <w:t>1 307,4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139,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="006256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14A9D">
              <w:rPr>
                <w:kern w:val="2"/>
                <w:sz w:val="28"/>
                <w:szCs w:val="28"/>
              </w:rPr>
              <w:t>200,3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1D0768">
              <w:rPr>
                <w:kern w:val="2"/>
                <w:sz w:val="28"/>
                <w:szCs w:val="28"/>
                <w:lang w:eastAsia="en-US"/>
              </w:rPr>
              <w:t>162,6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14A9D">
              <w:rPr>
                <w:sz w:val="28"/>
                <w:szCs w:val="28"/>
              </w:rPr>
              <w:t>482,8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48,5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14A9D">
              <w:rPr>
                <w:sz w:val="28"/>
                <w:szCs w:val="28"/>
              </w:rPr>
              <w:t>66,8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sz w:val="28"/>
                <w:szCs w:val="28"/>
              </w:rPr>
              <w:t>62,6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714A9D">
              <w:rPr>
                <w:sz w:val="28"/>
                <w:szCs w:val="28"/>
              </w:rPr>
              <w:t>824,</w:t>
            </w:r>
            <w:r w:rsidR="00845EE0">
              <w:rPr>
                <w:sz w:val="28"/>
                <w:szCs w:val="28"/>
              </w:rPr>
              <w:t>6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62564F">
              <w:rPr>
                <w:sz w:val="28"/>
                <w:szCs w:val="28"/>
              </w:rPr>
              <w:t>90,7</w:t>
            </w:r>
            <w:r w:rsidR="00617A36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="00714A9D">
              <w:rPr>
                <w:sz w:val="28"/>
                <w:szCs w:val="28"/>
              </w:rPr>
              <w:t>133,1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="001D0768">
              <w:rPr>
                <w:sz w:val="28"/>
                <w:szCs w:val="28"/>
              </w:rPr>
              <w:t>100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="0062564F">
              <w:rPr>
                <w:sz w:val="28"/>
                <w:szCs w:val="28"/>
              </w:rPr>
              <w:t>00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="001D0768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845EE0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62564F" w:rsidRDefault="00845EE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D076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162,6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845EE0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C84B7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D076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162,6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845EE0" w:rsidP="00C84B7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</w:t>
            </w:r>
            <w:r w:rsidR="00C84B7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81EAA" w:rsidRDefault="001825D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D0768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62,6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845EE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845EE0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24,1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681EAA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62564F" w:rsidP="00774D62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37,</w:t>
            </w:r>
            <w:r w:rsidR="00774D6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38,5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C84B73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C84B73" w:rsidP="00C84B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617A36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</w:t>
            </w:r>
            <w:r w:rsidR="00457BD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140,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84B73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967,4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1825D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A767E5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162,6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967,4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1825D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A767E5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162,6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457BD8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81EA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62,6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457BD8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81EA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62,6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644,2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571804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644,2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571804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457BD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845EE0" w:rsidRPr="00122691" w:rsidRDefault="00845EE0" w:rsidP="0084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293A" w:rsidRPr="00122691">
        <w:rPr>
          <w:sz w:val="28"/>
          <w:szCs w:val="28"/>
        </w:rPr>
        <w:t>2.</w:t>
      </w:r>
      <w:r w:rsidRPr="00845EE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B4" w:rsidRDefault="00A803B4">
      <w:r>
        <w:separator/>
      </w:r>
    </w:p>
  </w:endnote>
  <w:endnote w:type="continuationSeparator" w:id="0">
    <w:p w:rsidR="00A803B4" w:rsidRDefault="00A8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E0" w:rsidRDefault="00A803B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B1BF3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E0" w:rsidRDefault="00845EE0" w:rsidP="00656493">
    <w:pPr>
      <w:pStyle w:val="a6"/>
      <w:ind w:right="360"/>
    </w:pPr>
  </w:p>
  <w:p w:rsidR="00845EE0" w:rsidRDefault="00A803B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B1BF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B4" w:rsidRDefault="00A803B4">
      <w:r>
        <w:separator/>
      </w:r>
    </w:p>
  </w:footnote>
  <w:footnote w:type="continuationSeparator" w:id="0">
    <w:p w:rsidR="00A803B4" w:rsidRDefault="00A8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4A58"/>
    <w:rsid w:val="000F65A3"/>
    <w:rsid w:val="00101DBF"/>
    <w:rsid w:val="001160B8"/>
    <w:rsid w:val="00122691"/>
    <w:rsid w:val="001242AD"/>
    <w:rsid w:val="001249CC"/>
    <w:rsid w:val="00135407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D0768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B76AF"/>
    <w:rsid w:val="002C23E7"/>
    <w:rsid w:val="002D0E3B"/>
    <w:rsid w:val="002D26AA"/>
    <w:rsid w:val="002D2BBD"/>
    <w:rsid w:val="002E13A4"/>
    <w:rsid w:val="002E143E"/>
    <w:rsid w:val="002E5D64"/>
    <w:rsid w:val="002E677C"/>
    <w:rsid w:val="002E763F"/>
    <w:rsid w:val="002F4F35"/>
    <w:rsid w:val="002F5EA0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B1BF3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57BD8"/>
    <w:rsid w:val="00462C61"/>
    <w:rsid w:val="004638C8"/>
    <w:rsid w:val="00464945"/>
    <w:rsid w:val="00465047"/>
    <w:rsid w:val="004763D8"/>
    <w:rsid w:val="004831B6"/>
    <w:rsid w:val="004B782A"/>
    <w:rsid w:val="004C1C1F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43B4E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3299"/>
    <w:rsid w:val="006175EF"/>
    <w:rsid w:val="00617A36"/>
    <w:rsid w:val="0062564F"/>
    <w:rsid w:val="00637D7E"/>
    <w:rsid w:val="006449CA"/>
    <w:rsid w:val="00651936"/>
    <w:rsid w:val="006544C5"/>
    <w:rsid w:val="00654897"/>
    <w:rsid w:val="00656493"/>
    <w:rsid w:val="0066224A"/>
    <w:rsid w:val="00671E7B"/>
    <w:rsid w:val="006749A8"/>
    <w:rsid w:val="00681EAA"/>
    <w:rsid w:val="00682026"/>
    <w:rsid w:val="00682B11"/>
    <w:rsid w:val="00687EB5"/>
    <w:rsid w:val="006A3877"/>
    <w:rsid w:val="006A703F"/>
    <w:rsid w:val="006C1F27"/>
    <w:rsid w:val="006C226B"/>
    <w:rsid w:val="006D023F"/>
    <w:rsid w:val="006D2717"/>
    <w:rsid w:val="006E3434"/>
    <w:rsid w:val="006F1385"/>
    <w:rsid w:val="00714A9D"/>
    <w:rsid w:val="007403BC"/>
    <w:rsid w:val="00751E2A"/>
    <w:rsid w:val="007563F3"/>
    <w:rsid w:val="007574E2"/>
    <w:rsid w:val="00770871"/>
    <w:rsid w:val="00774D6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4196E"/>
    <w:rsid w:val="008442E4"/>
    <w:rsid w:val="00845EE0"/>
    <w:rsid w:val="008476B7"/>
    <w:rsid w:val="00854537"/>
    <w:rsid w:val="0086000F"/>
    <w:rsid w:val="00860442"/>
    <w:rsid w:val="00861D2A"/>
    <w:rsid w:val="008642E7"/>
    <w:rsid w:val="008661B5"/>
    <w:rsid w:val="00875669"/>
    <w:rsid w:val="00877428"/>
    <w:rsid w:val="00877748"/>
    <w:rsid w:val="00880BF7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1673B"/>
    <w:rsid w:val="009224E0"/>
    <w:rsid w:val="0093174D"/>
    <w:rsid w:val="00932BEE"/>
    <w:rsid w:val="00946399"/>
    <w:rsid w:val="00956192"/>
    <w:rsid w:val="009628E4"/>
    <w:rsid w:val="00962AC3"/>
    <w:rsid w:val="0096455D"/>
    <w:rsid w:val="009650EC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3B4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E356A"/>
    <w:rsid w:val="00AE5000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359E8"/>
    <w:rsid w:val="00B51B10"/>
    <w:rsid w:val="00B70928"/>
    <w:rsid w:val="00B776BC"/>
    <w:rsid w:val="00BA3833"/>
    <w:rsid w:val="00BA4C6D"/>
    <w:rsid w:val="00BE190B"/>
    <w:rsid w:val="00C02530"/>
    <w:rsid w:val="00C1410C"/>
    <w:rsid w:val="00C2476E"/>
    <w:rsid w:val="00C24F3E"/>
    <w:rsid w:val="00C30A8B"/>
    <w:rsid w:val="00C338F2"/>
    <w:rsid w:val="00C34A9C"/>
    <w:rsid w:val="00C465AF"/>
    <w:rsid w:val="00C60287"/>
    <w:rsid w:val="00C624D3"/>
    <w:rsid w:val="00C62BC8"/>
    <w:rsid w:val="00C766C4"/>
    <w:rsid w:val="00C8325F"/>
    <w:rsid w:val="00C8466B"/>
    <w:rsid w:val="00C84B73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6413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029C"/>
    <w:rsid w:val="00EF2AA9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2DFBC-6FC5-47C7-B8E9-9B15534A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DF91-D2AF-45F0-922B-BF129D80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66</cp:revision>
  <cp:lastPrinted>2022-12-08T05:50:00Z</cp:lastPrinted>
  <dcterms:created xsi:type="dcterms:W3CDTF">2019-02-06T10:55:00Z</dcterms:created>
  <dcterms:modified xsi:type="dcterms:W3CDTF">2023-12-28T08:29:00Z</dcterms:modified>
</cp:coreProperties>
</file>