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rPr>
          <w:rStyle w:val="Style14"/>
          <w:rFonts w:cs="Times New Roman"/>
          <w:b/>
          <w:color w:val="auto"/>
          <w:sz w:val="28"/>
          <w:szCs w:val="28"/>
          <w:shd w:fill="auto" w:val="clear"/>
        </w:rPr>
        <w:tab/>
      </w:r>
      <w:r>
        <w:rPr>
          <w:rStyle w:val="Style14"/>
          <w:rFonts w:cs="Times New Roman"/>
          <w:color w:val="auto"/>
          <w:sz w:val="28"/>
          <w:szCs w:val="28"/>
          <w:shd w:fill="auto" w:val="clear"/>
          <w:lang w:val="ru-RU"/>
        </w:rPr>
        <w:t xml:space="preserve">С </w:t>
      </w:r>
      <w:r>
        <w:rPr>
          <w:rStyle w:val="Style14"/>
          <w:rFonts w:cs="Times New Roman"/>
          <w:color w:val="auto"/>
          <w:sz w:val="28"/>
          <w:szCs w:val="28"/>
          <w:shd w:fill="auto" w:val="clear"/>
        </w:rPr>
        <w:t>1 января 2015 года Налоговый кодекс РФ пополни</w:t>
      </w:r>
      <w:r>
        <w:rPr>
          <w:rStyle w:val="Style14"/>
          <w:rFonts w:cs="Times New Roman"/>
          <w:color w:val="auto"/>
          <w:sz w:val="28"/>
          <w:szCs w:val="28"/>
          <w:shd w:fill="auto" w:val="clear"/>
        </w:rPr>
        <w:t>л</w:t>
      </w:r>
      <w:r>
        <w:rPr>
          <w:rStyle w:val="Style14"/>
          <w:rFonts w:cs="Times New Roman"/>
          <w:color w:val="auto"/>
          <w:sz w:val="28"/>
          <w:szCs w:val="28"/>
          <w:shd w:fill="auto" w:val="clear"/>
        </w:rPr>
        <w:t>ся новой главой 32 под названием «Налог на имущество физических лиц», а закон РФ «О налогах на имущество физических лиц» утрати</w:t>
      </w:r>
      <w:r>
        <w:rPr>
          <w:rStyle w:val="Style14"/>
          <w:rFonts w:cs="Times New Roman"/>
          <w:color w:val="auto"/>
          <w:sz w:val="28"/>
          <w:szCs w:val="28"/>
          <w:shd w:fill="auto" w:val="clear"/>
        </w:rPr>
        <w:t>л</w:t>
      </w:r>
      <w:r>
        <w:rPr>
          <w:rStyle w:val="Style14"/>
          <w:rFonts w:cs="Times New Roman"/>
          <w:color w:val="auto"/>
          <w:sz w:val="28"/>
          <w:szCs w:val="28"/>
          <w:shd w:fill="auto" w:val="clear"/>
        </w:rPr>
        <w:t xml:space="preserve"> силу. Эти поправки внесены Федеральным законом </w:t>
      </w:r>
      <w:r>
        <w:rPr>
          <w:rStyle w:val="Style14"/>
          <w:rFonts w:cs="Times New Roman"/>
          <w:color w:val="auto"/>
          <w:sz w:val="28"/>
          <w:szCs w:val="28"/>
          <w:u w:val="none"/>
          <w:shd w:fill="auto" w:val="clear"/>
        </w:rPr>
        <w:t xml:space="preserve">04.10.14 № 284-ФЗ </w:t>
      </w:r>
      <w:r>
        <w:rPr>
          <w:rStyle w:val="Style14"/>
          <w:rFonts w:cs="Times New Roman"/>
          <w:color w:val="auto"/>
          <w:sz w:val="28"/>
          <w:szCs w:val="28"/>
          <w:u w:val="none"/>
          <w:shd w:fill="auto" w:val="clear"/>
        </w:rPr>
        <w:t xml:space="preserve">и касаются </w:t>
      </w:r>
      <w:r>
        <w:rPr>
          <w:rStyle w:val="Style14"/>
          <w:rFonts w:cs="Times New Roman"/>
          <w:color w:val="auto"/>
          <w:sz w:val="28"/>
          <w:szCs w:val="28"/>
          <w:u w:val="none"/>
          <w:shd w:fill="auto" w:val="clear"/>
        </w:rPr>
        <w:t>л</w:t>
      </w:r>
      <w:r>
        <w:rPr>
          <w:rStyle w:val="Style14"/>
          <w:rFonts w:cs="Times New Roman"/>
          <w:color w:val="auto"/>
          <w:sz w:val="28"/>
          <w:szCs w:val="28"/>
          <w:shd w:fill="auto" w:val="clear"/>
        </w:rPr>
        <w:t xml:space="preserve">юбого собственника </w:t>
      </w:r>
      <w:r>
        <w:rPr>
          <w:rStyle w:val="Style14"/>
          <w:rFonts w:cs="Times New Roman"/>
          <w:color w:val="auto"/>
          <w:sz w:val="28"/>
          <w:szCs w:val="28"/>
          <w:shd w:fill="auto" w:val="clear"/>
        </w:rPr>
        <w:t>недвижимого имущества</w:t>
      </w:r>
      <w:r>
        <w:rPr>
          <w:rStyle w:val="Style14"/>
          <w:rFonts w:cs="Times New Roman"/>
          <w:color w:val="auto"/>
          <w:sz w:val="28"/>
          <w:szCs w:val="28"/>
          <w:shd w:fill="auto" w:val="clear"/>
        </w:rPr>
        <w:t>, например, квартиры или гаража.</w:t>
      </w:r>
    </w:p>
    <w:p>
      <w:pPr>
        <w:pStyle w:val="Normal"/>
        <w:jc w:val="both"/>
        <w:rPr/>
      </w:pPr>
      <w:r>
        <w:rPr>
          <w:rStyle w:val="Style14"/>
          <w:rFonts w:cs="Times New Roman"/>
          <w:b/>
          <w:color w:val="auto"/>
          <w:sz w:val="28"/>
          <w:szCs w:val="28"/>
          <w:shd w:fill="auto" w:val="clear"/>
        </w:rPr>
        <w:tab/>
      </w:r>
      <w:r>
        <w:rPr>
          <w:rStyle w:val="Style14"/>
          <w:rFonts w:cs="Times New Roman"/>
          <w:color w:val="auto"/>
          <w:sz w:val="28"/>
          <w:szCs w:val="28"/>
          <w:shd w:fill="auto" w:val="clear"/>
        </w:rPr>
        <w:t xml:space="preserve"> Одним из главных изменений, введенных новой главой НК РФ, </w:t>
      </w:r>
      <w:r>
        <w:rPr>
          <w:rStyle w:val="Style14"/>
          <w:rFonts w:cs="Times New Roman"/>
          <w:color w:val="auto"/>
          <w:sz w:val="28"/>
          <w:szCs w:val="28"/>
          <w:shd w:fill="auto" w:val="clear"/>
          <w:lang w:val="ru-RU"/>
        </w:rPr>
        <w:t>является</w:t>
      </w:r>
      <w:r>
        <w:rPr>
          <w:rStyle w:val="Style14"/>
          <w:rFonts w:cs="Times New Roman"/>
          <w:color w:val="auto"/>
          <w:sz w:val="28"/>
          <w:szCs w:val="28"/>
          <w:shd w:fill="auto" w:val="clear"/>
        </w:rPr>
        <w:t xml:space="preserve"> переход к исчислению налога на имущество не из инвентаризационной, а из кадастровой стоимости. Кадастровая стоимость, как правило, максимально приближена к рыночной стоимости имущества (поскольку при ее установлении учитывается, например, сегмент недвижимости, расположение, площадь и год постройки). </w:t>
      </w:r>
    </w:p>
    <w:p>
      <w:pPr>
        <w:pStyle w:val="Style22"/>
        <w:spacing w:before="0" w:after="0"/>
        <w:jc w:val="both"/>
        <w:rPr/>
      </w:pPr>
      <w:r>
        <w:rPr>
          <w:rStyle w:val="Style14"/>
          <w:rFonts w:cs="Times New Roman"/>
          <w:color w:val="auto"/>
          <w:sz w:val="28"/>
          <w:szCs w:val="28"/>
          <w:shd w:fill="auto" w:val="clear"/>
          <w:lang w:val="ru-RU"/>
        </w:rPr>
        <w:tab/>
        <w:t>Налог будет вводиться законами субъектов РФ. До  принятия соответствующего закона применя</w:t>
      </w:r>
      <w:r>
        <w:rPr>
          <w:rStyle w:val="Style14"/>
          <w:rFonts w:cs="Times New Roman"/>
          <w:color w:val="auto"/>
          <w:sz w:val="28"/>
          <w:szCs w:val="28"/>
          <w:shd w:fill="auto" w:val="clear"/>
          <w:lang w:val="ru-RU"/>
        </w:rPr>
        <w:t>ется</w:t>
      </w:r>
      <w:r>
        <w:rPr>
          <w:rStyle w:val="Style14"/>
          <w:rFonts w:cs="Times New Roman"/>
          <w:color w:val="auto"/>
          <w:sz w:val="28"/>
          <w:szCs w:val="28"/>
          <w:shd w:fill="auto" w:val="clear"/>
          <w:lang w:val="ru-RU"/>
        </w:rPr>
        <w:t xml:space="preserve"> действующий сейчас порядок, </w:t>
      </w:r>
      <w:r>
        <w:rPr>
          <w:rStyle w:val="Style14"/>
          <w:rFonts w:cs="Times New Roman"/>
          <w:color w:val="auto"/>
          <w:sz w:val="28"/>
          <w:szCs w:val="28"/>
          <w:shd w:fill="auto" w:val="clear"/>
          <w:lang w:val="ru-RU"/>
        </w:rPr>
        <w:t>т.е.</w:t>
      </w:r>
      <w:r>
        <w:rPr>
          <w:rStyle w:val="Style14"/>
          <w:rFonts w:cs="Times New Roman"/>
          <w:color w:val="auto"/>
          <w:sz w:val="28"/>
          <w:szCs w:val="28"/>
          <w:shd w:fill="auto" w:val="clear"/>
          <w:lang w:val="ru-RU"/>
        </w:rPr>
        <w:t xml:space="preserve"> налог рассчитыва</w:t>
      </w:r>
      <w:r>
        <w:rPr>
          <w:rStyle w:val="Style14"/>
          <w:rFonts w:cs="Times New Roman"/>
          <w:color w:val="auto"/>
          <w:sz w:val="28"/>
          <w:szCs w:val="28"/>
          <w:shd w:fill="auto" w:val="clear"/>
          <w:lang w:val="ru-RU"/>
        </w:rPr>
        <w:t>е</w:t>
      </w:r>
      <w:r>
        <w:rPr>
          <w:rStyle w:val="Style14"/>
          <w:rFonts w:cs="Times New Roman"/>
          <w:color w:val="auto"/>
          <w:sz w:val="28"/>
          <w:szCs w:val="28"/>
          <w:shd w:fill="auto" w:val="clear"/>
          <w:lang w:val="ru-RU"/>
        </w:rPr>
        <w:t>тся, исходя из инвентаризационной стоимости имущества.</w:t>
      </w:r>
    </w:p>
    <w:p>
      <w:pPr>
        <w:pStyle w:val="Style22"/>
        <w:spacing w:before="0" w:after="0"/>
        <w:jc w:val="both"/>
        <w:rPr/>
      </w:pPr>
      <w:r>
        <w:rPr>
          <w:rStyle w:val="Style14"/>
          <w:rFonts w:cs="Times New Roman"/>
          <w:color w:val="auto"/>
          <w:sz w:val="28"/>
          <w:szCs w:val="28"/>
          <w:shd w:fill="auto" w:val="clear"/>
          <w:lang w:val="ru-RU"/>
        </w:rPr>
        <w:tab/>
        <w:t xml:space="preserve">Налог будет начисляться на следующее имущество: </w:t>
      </w:r>
      <w:r>
        <w:rPr>
          <w:rStyle w:val="Style14"/>
          <w:rFonts w:cs="Times New Roman"/>
          <w:color w:val="auto"/>
          <w:sz w:val="28"/>
          <w:szCs w:val="28"/>
          <w:shd w:fill="auto" w:val="clear"/>
        </w:rPr>
        <w:t>жилой дом, жилое помещение (квартира, комната), гараж, машино-место, единый недвижимый комплекс, объект незавершенного строительства, иные здание, строение, сооружение, помещение. При этом, законодатель установил, что жилые строения, которые расположены на земельных участках, предоставленных для ведения личного подсобного, дачного хозяйства, огородничества, садоводства, индивидуального жилищного строительства будут относиться к жилым домам.</w:t>
      </w:r>
    </w:p>
    <w:p>
      <w:pPr>
        <w:pStyle w:val="Normal"/>
        <w:jc w:val="both"/>
        <w:rPr/>
      </w:pPr>
      <w:r>
        <w:rPr>
          <w:rStyle w:val="Style14"/>
          <w:rFonts w:cs="Times New Roman"/>
          <w:color w:val="auto"/>
          <w:sz w:val="28"/>
          <w:szCs w:val="28"/>
          <w:shd w:fill="auto" w:val="clear"/>
          <w:lang w:val="ru-RU"/>
        </w:rPr>
        <w:tab/>
        <w:t>Законом установлены три базовые ставки по налогу:</w:t>
      </w:r>
    </w:p>
    <w:p>
      <w:pPr>
        <w:pStyle w:val="Style22"/>
        <w:spacing w:before="0" w:after="0"/>
        <w:ind w:left="0" w:right="0" w:firstLine="706"/>
        <w:jc w:val="both"/>
        <w:rPr>
          <w:rFonts w:cs="Times New Roman"/>
          <w:color w:val="auto"/>
          <w:sz w:val="28"/>
          <w:szCs w:val="28"/>
          <w:shd w:fill="auto" w:val="clear"/>
        </w:rPr>
      </w:pPr>
      <w:r>
        <w:rPr>
          <w:rFonts w:cs="Times New Roman"/>
          <w:color w:val="auto"/>
          <w:sz w:val="28"/>
          <w:szCs w:val="28"/>
          <w:shd w:fill="auto" w:val="clear"/>
        </w:rPr>
        <w:t>- 0,1% от кадастровой стоимости жилых домов и помещений, незавершенных жилых домов, единых недвижимых комплексов, в состав которых входит хотя бы одно жилое помещение (жилой дом), гаражей и машино-мест, хозяйственных строений или сооружений, площадью не более 50 кв. м, расположенных на земельных участках личного подсобного, дачного хозяйства, огородничества, садоводства или индивидуального жилищного строительства;</w:t>
      </w:r>
    </w:p>
    <w:p>
      <w:pPr>
        <w:pStyle w:val="Style22"/>
        <w:spacing w:before="0" w:after="0"/>
        <w:ind w:left="0" w:right="0" w:firstLine="706"/>
        <w:jc w:val="both"/>
        <w:rPr/>
      </w:pPr>
      <w:r>
        <w:rPr>
          <w:rStyle w:val="Style14"/>
          <w:rFonts w:cs="Times New Roman"/>
          <w:color w:val="auto"/>
          <w:sz w:val="28"/>
          <w:szCs w:val="28"/>
          <w:shd w:fill="auto" w:val="clear"/>
        </w:rPr>
        <w:t>- 2% от кадастровой стоимости административно-деловых и торговых центров и помещений в них, нежилых помещений под офисы, торговые объекты, объекты общественного питания и бытового обслуживания, а также для имущества, кадастровая стоимость которого превышает 300 млн руб.</w:t>
      </w:r>
    </w:p>
    <w:p>
      <w:pPr>
        <w:pStyle w:val="Style22"/>
        <w:spacing w:before="0" w:after="0"/>
        <w:ind w:left="0" w:right="0" w:firstLine="706"/>
        <w:jc w:val="both"/>
        <w:rPr>
          <w:rFonts w:cs="Times New Roman"/>
          <w:color w:val="auto"/>
          <w:sz w:val="28"/>
          <w:szCs w:val="28"/>
          <w:shd w:fill="auto" w:val="clear"/>
        </w:rPr>
      </w:pPr>
      <w:r>
        <w:rPr>
          <w:rFonts w:cs="Times New Roman"/>
          <w:color w:val="auto"/>
          <w:sz w:val="28"/>
          <w:szCs w:val="28"/>
          <w:shd w:fill="auto" w:val="clear"/>
        </w:rPr>
        <w:t>- 0,5% от кадастровой стоимости прочих объектов (п. 2 ст. 406 НК РФ).</w:t>
      </w:r>
    </w:p>
    <w:p>
      <w:pPr>
        <w:pStyle w:val="Style22"/>
        <w:spacing w:before="0" w:after="0"/>
        <w:jc w:val="both"/>
        <w:rPr/>
      </w:pPr>
      <w:r>
        <w:rPr>
          <w:rStyle w:val="Style14"/>
          <w:rFonts w:cs="Times New Roman"/>
          <w:color w:val="auto"/>
          <w:sz w:val="28"/>
          <w:szCs w:val="28"/>
          <w:shd w:fill="auto" w:val="clear"/>
        </w:rPr>
        <w:tab/>
        <w:t xml:space="preserve">Однако, каждый муниципалитет </w:t>
      </w:r>
      <w:r>
        <w:rPr>
          <w:rStyle w:val="Style14"/>
          <w:rFonts w:cs="Times New Roman"/>
          <w:color w:val="auto"/>
          <w:sz w:val="28"/>
          <w:szCs w:val="28"/>
          <w:shd w:fill="auto" w:val="clear"/>
        </w:rPr>
        <w:t>(Собрание депутатов соответствующего поселения)</w:t>
      </w:r>
      <w:r>
        <w:rPr>
          <w:rStyle w:val="Style14"/>
          <w:rFonts w:cs="Times New Roman"/>
          <w:color w:val="auto"/>
          <w:sz w:val="28"/>
          <w:szCs w:val="28"/>
          <w:shd w:fill="auto" w:val="clear"/>
        </w:rPr>
        <w:t xml:space="preserve"> вправе самостоятельно устанавливать дифференцированные налоговые ставки в зависимости от кадастровой стоимости объекта, его вида, места нахождения, а также вида территориальных зон, в границах которых расположено имущество. При этом, снизить ставку можно до нуля, а увеличить только в три раза по сравнению с базовой ставкой (п. 3 ст. 406 НК РФ). Узнать действующую ставку можно будет на официальном сайте муниципалитета.</w:t>
      </w:r>
    </w:p>
    <w:p>
      <w:pPr>
        <w:pStyle w:val="Style22"/>
        <w:spacing w:before="0" w:after="0"/>
        <w:jc w:val="both"/>
        <w:rPr/>
      </w:pPr>
      <w:r>
        <w:rPr>
          <w:rStyle w:val="Style14"/>
          <w:rFonts w:cs="Times New Roman"/>
          <w:color w:val="auto"/>
          <w:sz w:val="28"/>
          <w:szCs w:val="28"/>
          <w:shd w:fill="auto" w:val="clear"/>
        </w:rPr>
        <w:tab/>
        <w:t>Новый закон предусматривает также применение различных вычетов, льгот и понижающих коэффициентов. Так, вне зависимости от того, кто является собственником имущества, налогом не облагается 20 кв. м от общей площади квартиры, 10 кв. м от площади комнаты и 50 кв. м от площади дома (количество собственников значения не имеет) (п. 3-5 ст. 403 НК РФ). Что касается единого недвижимого комплекса, то для него предусмотрен денежный вычет – налогоплательщики смогут уменьшить налоговую базу на 1 млн руб. (п. 6 ст. 403 НК РФ).</w:t>
      </w:r>
    </w:p>
    <w:p>
      <w:pPr>
        <w:pStyle w:val="Style22"/>
        <w:spacing w:before="0" w:after="0"/>
        <w:ind w:left="0" w:right="0" w:firstLine="706"/>
        <w:jc w:val="both"/>
        <w:rPr>
          <w:rFonts w:cs="Times New Roman"/>
          <w:color w:val="auto"/>
          <w:sz w:val="28"/>
          <w:szCs w:val="28"/>
          <w:shd w:fill="auto" w:val="clear"/>
        </w:rPr>
      </w:pPr>
      <w:r>
        <w:rPr>
          <w:rFonts w:cs="Times New Roman"/>
          <w:color w:val="auto"/>
          <w:sz w:val="28"/>
          <w:szCs w:val="28"/>
          <w:shd w:fill="auto" w:val="clear"/>
        </w:rPr>
        <w:t>Категории льготников, которые полностью освобождены от уплаты налога, не изменились – к ним по-прежнему относятся Герои Советского Союза и Российской Федерации, инвалиды, военнослужащие и члены их семей, пенсионеры и другие. Но от обложения налогом освобождается только один объект имущества каждого вида, который находится в собственности налогоплательщика и не используется в предпринимательской деятельности. При этом, определять, в отношении какого именно объекта будет использоваться освобождение, будет сам налогоплательщик (п. 3 ст. 407 НК РФ). Так, например, если пенсионер владеет гаражом и двумя квартирами, то налогом будет облагаться только одна квартира.</w:t>
      </w:r>
    </w:p>
    <w:p>
      <w:pPr>
        <w:pStyle w:val="Style22"/>
        <w:spacing w:before="0" w:after="0"/>
        <w:jc w:val="both"/>
        <w:rPr/>
      </w:pPr>
      <w:r>
        <w:rPr>
          <w:rStyle w:val="Style14"/>
          <w:rFonts w:cs="Times New Roman"/>
          <w:color w:val="auto"/>
          <w:sz w:val="28"/>
          <w:szCs w:val="28"/>
          <w:shd w:fill="auto" w:val="clear"/>
        </w:rPr>
        <w:tab/>
        <w:t xml:space="preserve">Если сумма налога, рассчитанная «по-новому» окажется выше суммы налога, рассчитанной «по-старому», то в первые четыре года после введения в регионе новых правил законодатели предусмотрели применение понижающих коэффициентов. Так, для исчисления налога за </w:t>
      </w:r>
      <w:r>
        <w:rPr>
          <w:rStyle w:val="Style14"/>
          <w:rFonts w:cs="Times New Roman"/>
          <w:color w:val="auto"/>
          <w:sz w:val="28"/>
          <w:szCs w:val="28"/>
          <w:shd w:fill="auto" w:val="clear"/>
          <w:lang w:val="ru-RU"/>
        </w:rPr>
        <w:t>первый год после введения налога</w:t>
      </w:r>
      <w:r>
        <w:rPr>
          <w:rStyle w:val="Style14"/>
          <w:rFonts w:cs="Times New Roman"/>
          <w:color w:val="auto"/>
          <w:sz w:val="28"/>
          <w:szCs w:val="28"/>
          <w:shd w:fill="auto" w:val="clear"/>
        </w:rPr>
        <w:t xml:space="preserve"> год налоговую базу нужно будет умножить на 0,2, за </w:t>
      </w:r>
      <w:r>
        <w:rPr>
          <w:rStyle w:val="Style14"/>
          <w:rFonts w:cs="Times New Roman"/>
          <w:color w:val="auto"/>
          <w:sz w:val="28"/>
          <w:szCs w:val="28"/>
          <w:shd w:fill="auto" w:val="clear"/>
          <w:lang w:val="ru-RU"/>
        </w:rPr>
        <w:t>второй</w:t>
      </w:r>
      <w:r>
        <w:rPr>
          <w:rStyle w:val="Style14"/>
          <w:rFonts w:cs="Times New Roman"/>
          <w:color w:val="auto"/>
          <w:sz w:val="28"/>
          <w:szCs w:val="28"/>
          <w:shd w:fill="auto" w:val="clear"/>
        </w:rPr>
        <w:t xml:space="preserve">  – на 0,4, за </w:t>
      </w:r>
      <w:r>
        <w:rPr>
          <w:rStyle w:val="Style14"/>
          <w:rFonts w:cs="Times New Roman"/>
          <w:color w:val="auto"/>
          <w:sz w:val="28"/>
          <w:szCs w:val="28"/>
          <w:shd w:fill="auto" w:val="clear"/>
          <w:lang w:val="ru-RU"/>
        </w:rPr>
        <w:t>третий</w:t>
      </w:r>
      <w:r>
        <w:rPr>
          <w:rStyle w:val="Style14"/>
          <w:rFonts w:cs="Times New Roman"/>
          <w:color w:val="auto"/>
          <w:sz w:val="28"/>
          <w:szCs w:val="28"/>
          <w:shd w:fill="auto" w:val="clear"/>
        </w:rPr>
        <w:t xml:space="preserve"> год – на 0,6, а за </w:t>
      </w:r>
      <w:r>
        <w:rPr>
          <w:rStyle w:val="Style14"/>
          <w:rFonts w:cs="Times New Roman"/>
          <w:color w:val="auto"/>
          <w:sz w:val="28"/>
          <w:szCs w:val="28"/>
          <w:shd w:fill="auto" w:val="clear"/>
          <w:lang w:val="ru-RU"/>
        </w:rPr>
        <w:t>четвертый</w:t>
      </w:r>
      <w:r>
        <w:rPr>
          <w:rStyle w:val="Style14"/>
          <w:rFonts w:cs="Times New Roman"/>
          <w:color w:val="auto"/>
          <w:sz w:val="28"/>
          <w:szCs w:val="28"/>
          <w:shd w:fill="auto" w:val="clear"/>
        </w:rPr>
        <w:t xml:space="preserve"> год – на 0,8 (п. 8 ст. 408 НК РФ).</w:t>
        <w:tab/>
      </w:r>
    </w:p>
    <w:p>
      <w:pPr>
        <w:pStyle w:val="Style22"/>
        <w:spacing w:before="0" w:after="0"/>
        <w:ind w:left="0" w:right="0" w:firstLine="706"/>
        <w:jc w:val="both"/>
        <w:rPr/>
      </w:pPr>
      <w:r>
        <w:rPr>
          <w:rStyle w:val="Style14"/>
          <w:rFonts w:cs="Times New Roman"/>
          <w:color w:val="auto"/>
          <w:sz w:val="28"/>
          <w:szCs w:val="28"/>
          <w:shd w:fill="auto" w:val="clear"/>
        </w:rPr>
        <w:t>Начиная с пятого года после введения кадастрового способа расчета в регионе, сумма налога будет равна облагаемой кадастровой стоимости, умноженной на ставку.</w:t>
      </w:r>
    </w:p>
    <w:p>
      <w:pPr>
        <w:pStyle w:val="Style22"/>
        <w:spacing w:before="0" w:after="0"/>
        <w:jc w:val="both"/>
        <w:rPr/>
      </w:pPr>
      <w:r>
        <w:rPr>
          <w:rStyle w:val="Style14"/>
          <w:rFonts w:cs="Times New Roman"/>
          <w:color w:val="auto"/>
          <w:sz w:val="28"/>
          <w:szCs w:val="28"/>
          <w:shd w:fill="auto" w:val="clear"/>
        </w:rPr>
        <w:br/>
      </w:r>
      <w:r>
        <w:rPr>
          <w:rStyle w:val="Style14"/>
          <w:rFonts w:cs="Times New Roman"/>
          <w:color w:val="auto"/>
          <w:sz w:val="28"/>
          <w:szCs w:val="28"/>
          <w:shd w:fill="auto" w:val="clear"/>
          <w:lang w:val="ru-RU"/>
        </w:rPr>
        <w:t>Пример:</w:t>
      </w:r>
      <w:r>
        <w:rPr>
          <w:rStyle w:val="Style14"/>
          <w:rFonts w:cs="Times New Roman"/>
          <w:color w:val="auto"/>
          <w:sz w:val="28"/>
          <w:szCs w:val="28"/>
          <w:shd w:fill="auto" w:val="clear"/>
        </w:rPr>
        <w:br/>
        <w:t>В регионе ввели расчет налога на имущество физических лиц с 201</w:t>
      </w:r>
      <w:r>
        <w:rPr>
          <w:rStyle w:val="Style14"/>
          <w:rFonts w:cs="Times New Roman"/>
          <w:color w:val="auto"/>
          <w:sz w:val="28"/>
          <w:szCs w:val="28"/>
          <w:shd w:fill="auto" w:val="clear"/>
          <w:lang w:val="ru-RU"/>
        </w:rPr>
        <w:t>6</w:t>
      </w:r>
      <w:r>
        <w:rPr>
          <w:rStyle w:val="Style14"/>
          <w:rFonts w:cs="Times New Roman"/>
          <w:color w:val="auto"/>
          <w:sz w:val="28"/>
          <w:szCs w:val="28"/>
          <w:shd w:fill="auto" w:val="clear"/>
        </w:rPr>
        <w:t xml:space="preserve"> года, исходя из кадастровой стоимости. У Иванова находится в собственности квартира площадью 54 кв. м. Кадастровая стоимость жилья составила на 1 января 201</w:t>
      </w:r>
      <w:r>
        <w:rPr>
          <w:rStyle w:val="Style14"/>
          <w:rFonts w:cs="Times New Roman"/>
          <w:color w:val="auto"/>
          <w:sz w:val="28"/>
          <w:szCs w:val="28"/>
          <w:shd w:fill="auto" w:val="clear"/>
          <w:lang w:val="ru-RU"/>
        </w:rPr>
        <w:t>6</w:t>
      </w:r>
      <w:r>
        <w:rPr>
          <w:rStyle w:val="Style14"/>
          <w:rFonts w:cs="Times New Roman"/>
          <w:color w:val="auto"/>
          <w:sz w:val="28"/>
          <w:szCs w:val="28"/>
          <w:shd w:fill="auto" w:val="clear"/>
        </w:rPr>
        <w:t xml:space="preserve"> года 4 млн руб. Налог надо рассчитать с кадастровой стоимости не всей площади, а 34 кв. м (54 – 20). То есть с 2 518 519 руб. (4 млн руб. : 54 кв. м × 34 кв. м). А инвентаризационная стоимость квартиры равна 300 000 руб. Ставки по налогу, исчисленному по кадастровой и инвентаризационной стоимости, совпадают — 0,1 процента. Сумма налога, рассчитанного по кадастровой стоимости, составила 2519 руб. (2 518 519 × 0,1%). А налог, исчисленный по инвентаризационной стоимости, составил 300 руб. (300 000 руб. × 0,1%). Налог за 201</w:t>
      </w:r>
      <w:r>
        <w:rPr>
          <w:rStyle w:val="Style14"/>
          <w:rFonts w:cs="Times New Roman"/>
          <w:color w:val="auto"/>
          <w:sz w:val="28"/>
          <w:szCs w:val="28"/>
          <w:shd w:fill="auto" w:val="clear"/>
          <w:lang w:val="ru-RU"/>
        </w:rPr>
        <w:t>6</w:t>
      </w:r>
      <w:r>
        <w:rPr>
          <w:rStyle w:val="Style14"/>
          <w:rFonts w:cs="Times New Roman"/>
          <w:color w:val="auto"/>
          <w:sz w:val="28"/>
          <w:szCs w:val="28"/>
          <w:shd w:fill="auto" w:val="clear"/>
        </w:rPr>
        <w:t xml:space="preserve"> год составит 744 руб. ((2519 руб. – 300 руб.) x 0,2 + 300</w:t>
      </w:r>
      <w:r>
        <w:rPr>
          <w:rStyle w:val="Style14"/>
          <w:rFonts w:cs="Times New Roman"/>
          <w:color w:val="auto"/>
          <w:sz w:val="28"/>
          <w:szCs w:val="28"/>
          <w:shd w:fill="auto" w:val="clear"/>
          <w:lang w:val="ru-RU"/>
        </w:rPr>
        <w:t xml:space="preserve"> </w:t>
      </w:r>
      <w:r>
        <w:rPr>
          <w:rStyle w:val="Style14"/>
          <w:rFonts w:cs="Times New Roman"/>
          <w:color w:val="auto"/>
          <w:sz w:val="28"/>
          <w:szCs w:val="28"/>
          <w:shd w:fill="auto" w:val="clear"/>
        </w:rPr>
        <w:t>руб.).</w:t>
      </w:r>
    </w:p>
    <w:p>
      <w:pPr>
        <w:pStyle w:val="Style22"/>
        <w:spacing w:before="0" w:after="0"/>
        <w:jc w:val="both"/>
        <w:rPr/>
      </w:pPr>
      <w:r>
        <w:rPr>
          <w:rStyle w:val="Style14"/>
          <w:color w:val="auto"/>
          <w:shd w:fill="auto" w:val="clear"/>
        </w:rPr>
        <w:tab/>
      </w:r>
      <w:r>
        <w:rPr>
          <w:rStyle w:val="Style14"/>
          <w:color w:val="auto"/>
          <w:sz w:val="28"/>
          <w:szCs w:val="28"/>
          <w:shd w:fill="auto" w:val="clear"/>
          <w:lang w:val="ru-RU"/>
        </w:rPr>
        <w:t xml:space="preserve">В связи с существенными изменениями в налогооблажении, Администрация </w:t>
      </w:r>
      <w:r>
        <w:rPr>
          <w:rStyle w:val="Style14"/>
          <w:color w:val="auto"/>
          <w:sz w:val="28"/>
          <w:szCs w:val="28"/>
          <w:shd w:fill="auto" w:val="clear"/>
          <w:lang w:val="ru-RU"/>
        </w:rPr>
        <w:t xml:space="preserve">района </w:t>
      </w:r>
      <w:r>
        <w:rPr>
          <w:rStyle w:val="Style14"/>
          <w:color w:val="auto"/>
          <w:sz w:val="28"/>
          <w:szCs w:val="28"/>
          <w:shd w:fill="auto" w:val="clear"/>
          <w:lang w:val="ru-RU"/>
        </w:rPr>
        <w:t>рекомендует налогоплательщик</w:t>
      </w:r>
      <w:r>
        <w:rPr>
          <w:rStyle w:val="Style14"/>
          <w:color w:val="auto"/>
          <w:sz w:val="28"/>
          <w:szCs w:val="28"/>
          <w:shd w:fill="auto" w:val="clear"/>
          <w:lang w:val="ru-RU"/>
        </w:rPr>
        <w:t>ам</w:t>
      </w:r>
      <w:r>
        <w:rPr>
          <w:rStyle w:val="Style14"/>
          <w:color w:val="auto"/>
          <w:sz w:val="28"/>
          <w:szCs w:val="28"/>
          <w:shd w:fill="auto" w:val="clear"/>
          <w:lang w:val="ru-RU"/>
        </w:rPr>
        <w:t xml:space="preserve"> уже сегодня уточнить размер кадастровой стоимости объектов недвижимости, находящихся в  собственности. </w:t>
      </w:r>
      <w:r>
        <w:rPr>
          <w:rStyle w:val="Style14"/>
          <w:rFonts w:cs="Times New Roman"/>
          <w:color w:val="auto"/>
          <w:sz w:val="28"/>
          <w:szCs w:val="28"/>
          <w:shd w:fill="auto" w:val="clear"/>
          <w:lang w:val="ru-RU"/>
        </w:rPr>
        <w:t xml:space="preserve">Кадастровую стоимость своей недвижимости можно узнать на официальном сайте Росрестра в разделе «Справочная информация по объектам недвижимости в режиме online». Если же нужных сведений на этом ресурсе не оказалось, указанные сведения можно получить в любом территориальном отделе Росреестра, а так же получить сведения в электронном виде, направив в Росреестр электронный запрос на получение сведений из государственного кадастра недвижимости. Ответ должны прислать уже через пять рабочих дней (п. 41 Порядка предоставления сведений, внесенных в государственный кадастр недвижимости). </w:t>
      </w:r>
    </w:p>
    <w:p>
      <w:pPr>
        <w:pStyle w:val="Normal"/>
        <w:ind w:left="0" w:right="0" w:firstLine="706"/>
        <w:jc w:val="both"/>
        <w:rPr/>
      </w:pPr>
      <w:r>
        <w:rPr>
          <w:rStyle w:val="Style14"/>
          <w:rFonts w:cs="Times New Roman"/>
          <w:color w:val="auto"/>
          <w:sz w:val="28"/>
          <w:szCs w:val="28"/>
          <w:shd w:fill="auto" w:val="clear"/>
        </w:rPr>
        <w:t xml:space="preserve">Если налогоплательщик считает, что кадастровая стоимость его имущества серьезно отличается от рыночной, он вправе обжаловать результаты кадастровой оценки. Обратиться можно в суд или комиссию по рассмотрению споров о результатах определения кадастровой стоимости при территориальном управлении Росреестра. Физлицам, в отличие от предпринимателей, в комиссию можно и не обращаться, а напрямую подавать заявление в суд (ст. 24.18 гл. III.1 </w:t>
      </w:r>
      <w:r>
        <w:rPr>
          <w:rStyle w:val="Style14"/>
          <w:rFonts w:cs="Times New Roman"/>
          <w:color w:val="auto"/>
          <w:sz w:val="28"/>
          <w:szCs w:val="28"/>
          <w:shd w:fill="auto" w:val="clear"/>
        </w:rPr>
        <w:t>ФЗ</w:t>
      </w:r>
      <w:r>
        <w:rPr>
          <w:rStyle w:val="Style14"/>
          <w:rFonts w:cs="Times New Roman"/>
          <w:color w:val="auto"/>
          <w:sz w:val="28"/>
          <w:szCs w:val="28"/>
          <w:shd w:fill="auto" w:val="clear"/>
        </w:rPr>
        <w:t xml:space="preserve"> № 135-ФЗ). </w:t>
      </w:r>
    </w:p>
    <w:p>
      <w:pPr>
        <w:pStyle w:val="Normal"/>
        <w:jc w:val="both"/>
        <w:rPr/>
      </w:pPr>
      <w:r>
        <w:rPr>
          <w:rStyle w:val="Style14"/>
          <w:rFonts w:cs="Times New Roman"/>
          <w:color w:val="auto"/>
          <w:sz w:val="28"/>
          <w:szCs w:val="28"/>
          <w:shd w:fill="auto" w:val="clear"/>
          <w:lang w:val="ru-RU"/>
        </w:rPr>
        <w:tab/>
      </w:r>
    </w:p>
    <w:p>
      <w:pPr>
        <w:pStyle w:val="Style22"/>
        <w:spacing w:lineRule="atLeast" w:line="255" w:before="0" w:after="120"/>
        <w:rPr/>
      </w:pPr>
      <w:r>
        <w:rPr>
          <w:rStyle w:val="Style14"/>
          <w:rFonts w:ascii="Arial" w:hAnsi="Arial"/>
          <w:color w:val="auto"/>
          <w:sz w:val="21"/>
          <w:shd w:fill="auto" w:val="clear"/>
        </w:rPr>
        <w:br/>
        <w:br/>
      </w:r>
    </w:p>
    <w:sectPr>
      <w:type w:val="nextPage"/>
      <w:pgSz w:w="11906" w:h="16838"/>
      <w:pgMar w:left="1134" w:right="61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Arial">
    <w:charset w:val="01"/>
    <w:family w:val="swiss"/>
    <w:pitch w:val="variable"/>
  </w:font>
</w:fonts>
</file>

<file path=word/settings.xml><?xml version="1.0" encoding="utf-8"?>
<w:settings xmlns:w="http://schemas.openxmlformats.org/wordprocessingml/2006/main">
  <w:zoom w:percent="100"/>
  <w:defaultTabStop w:val="706"/>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 w:val="24"/>
        <w:szCs w:val="24"/>
        <w:lang w:val="en-US" w:eastAsia="en-US" w:bidi="en-US"/>
      </w:rPr>
    </w:rPrDefault>
    <w:pPrDefault>
      <w:pPr>
        <w:suppressAutoHyphens w:val="false"/>
        <w:textAlignment w:val="baseline"/>
      </w:pPr>
    </w:pPrDefault>
  </w:docDefaults>
  <w:style w:type="paragraph" w:styleId="Normal">
    <w:name w:val="Norma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Andale Sans UI" w:cs="Tahoma"/>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shd w:fill="auto" w:val="clear"/>
      <w:vertAlign w:val="baseline"/>
      <w:em w:val="none"/>
      <w:lang w:val="en-US" w:eastAsia="en-US" w:bidi="en-US"/>
    </w:rPr>
  </w:style>
  <w:style w:type="character" w:styleId="Style14">
    <w:name w:val="Основной шрифт абзаца"/>
    <w:qFormat/>
    <w:rPr/>
  </w:style>
  <w:style w:type="character" w:styleId="Style15">
    <w:name w:val="Интернет-ссылка"/>
    <w:rPr>
      <w:color w:val="000080"/>
      <w:u w:val="single"/>
    </w:rPr>
  </w:style>
  <w:style w:type="character" w:styleId="Style16">
    <w:name w:val="Маркеры списка"/>
    <w:qFormat/>
    <w:rPr>
      <w:rFonts w:ascii="OpenSymbol" w:hAnsi="OpenSymbol" w:eastAsia="OpenSymbol" w:cs="OpenSymbol"/>
    </w:rPr>
  </w:style>
  <w:style w:type="character" w:styleId="Style17">
    <w:name w:val="Выделение жирным"/>
    <w:rPr>
      <w:b/>
      <w:bCs/>
    </w:rPr>
  </w:style>
  <w:style w:type="character" w:styleId="Style18">
    <w:name w:val="Выделение"/>
    <w:rPr>
      <w:i/>
      <w:iCs/>
    </w:rPr>
  </w:style>
  <w:style w:type="character" w:styleId="Style19">
    <w:name w:val="Посещённая гиперссылка"/>
    <w:rPr>
      <w:color w:val="800000"/>
      <w:u w:val="single"/>
      <w:lang w:val="zxx" w:eastAsia="zxx" w:bidi="zxx"/>
    </w:rPr>
  </w:style>
  <w:style w:type="paragraph" w:styleId="Style20">
    <w:name w:val="Обычный"/>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Andale Sans UI" w:cs="Tahoma"/>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shd w:fill="auto" w:val="clear"/>
      <w:vertAlign w:val="baseline"/>
      <w:em w:val="none"/>
      <w:lang w:val="en-US" w:eastAsia="en-US" w:bidi="en-US"/>
    </w:rPr>
  </w:style>
  <w:style w:type="paragraph" w:styleId="Style21">
    <w:name w:val="Заголовок"/>
    <w:basedOn w:val="Normal"/>
    <w:next w:val="Style22"/>
    <w:qFormat/>
    <w:pPr>
      <w:keepNext/>
      <w:suppressAutoHyphens w:val="true"/>
      <w:spacing w:before="240" w:after="120"/>
    </w:pPr>
    <w:rPr>
      <w:rFonts w:ascii="Arial" w:hAnsi="Arial"/>
      <w:sz w:val="28"/>
      <w:szCs w:val="28"/>
    </w:rPr>
  </w:style>
  <w:style w:type="paragraph" w:styleId="Style22">
    <w:name w:val="Основной текст"/>
    <w:basedOn w:val="Normal"/>
    <w:pPr>
      <w:suppressAutoHyphens w:val="true"/>
      <w:spacing w:before="0" w:after="120"/>
    </w:pPr>
    <w:rPr/>
  </w:style>
  <w:style w:type="paragraph" w:styleId="Style23">
    <w:name w:val="Список"/>
    <w:basedOn w:val="Style22"/>
    <w:pPr>
      <w:suppressAutoHyphens w:val="true"/>
    </w:pPr>
    <w:rPr/>
  </w:style>
  <w:style w:type="paragraph" w:styleId="Style24">
    <w:name w:val="Название объекта"/>
    <w:basedOn w:val="Normal"/>
    <w:qFormat/>
    <w:pPr>
      <w:suppressLineNumbers/>
      <w:suppressAutoHyphens w:val="true"/>
      <w:spacing w:before="120" w:after="120"/>
    </w:pPr>
    <w:rPr>
      <w:i/>
      <w:iCs/>
    </w:rPr>
  </w:style>
  <w:style w:type="paragraph" w:styleId="Style25">
    <w:name w:val="Указатель"/>
    <w:basedOn w:val="Normal"/>
    <w:qFormat/>
    <w:pPr>
      <w:suppressLineNumbers/>
      <w:suppressAutoHyphens w:val="tru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70</TotalTime>
  <Application>LibreOffice/4.4.1.2$Linux_x86 LibreOffice_project/40m0$Build-2</Application>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2015-05-29T14:41:19Z</dcterms:created>
  <dc:language>ru-RU</dc:language>
  <cp:lastModifiedBy>vga  </cp:lastModifiedBy>
  <dcterms:modified xsi:type="dcterms:W3CDTF">2015-05-29T14:42:27Z</dcterms:modified>
  <cp:revision>2</cp:revision>
</cp:coreProperties>
</file>

<file path=docProps/custom.xml><?xml version="1.0" encoding="utf-8"?>
<Properties xmlns="http://schemas.openxmlformats.org/officeDocument/2006/custom-properties" xmlns:vt="http://schemas.openxmlformats.org/officeDocument/2006/docPropsVTypes"/>
</file>