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F4657B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июнь</w:t>
      </w:r>
      <w:r w:rsidR="00E60822">
        <w:rPr>
          <w:rFonts w:eastAsia="Times New Roman"/>
          <w:b/>
          <w:bCs/>
          <w:sz w:val="26"/>
          <w:szCs w:val="26"/>
          <w:lang w:eastAsia="ar-SA"/>
        </w:rPr>
        <w:t xml:space="preserve">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F4657B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В июне  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E60822"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E56D58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F4657B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56D58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 w:rsidP="00F4657B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4657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F4657B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И. о. Главы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F4657B">
        <w:rPr>
          <w:rFonts w:eastAsia="Times New Roman"/>
          <w:bCs/>
          <w:sz w:val="28"/>
          <w:szCs w:val="28"/>
          <w:lang w:eastAsia="ar-SA"/>
        </w:rPr>
        <w:t xml:space="preserve">               О. И. Романенко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F4657B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 xml:space="preserve">Исп.  </w:t>
      </w:r>
      <w:proofErr w:type="spellStart"/>
      <w:r>
        <w:rPr>
          <w:rFonts w:eastAsia="Times New Roman"/>
          <w:bCs/>
          <w:sz w:val="16"/>
          <w:szCs w:val="16"/>
          <w:lang w:eastAsia="ar-SA"/>
        </w:rPr>
        <w:t>Пасецкая</w:t>
      </w:r>
      <w:proofErr w:type="spellEnd"/>
      <w:r>
        <w:rPr>
          <w:rFonts w:eastAsia="Times New Roman"/>
          <w:bCs/>
          <w:sz w:val="16"/>
          <w:szCs w:val="16"/>
          <w:lang w:eastAsia="ar-SA"/>
        </w:rPr>
        <w:t xml:space="preserve"> Н.В</w:t>
      </w:r>
      <w:r w:rsidR="004A0794">
        <w:rPr>
          <w:rFonts w:eastAsia="Times New Roman"/>
          <w:bCs/>
          <w:sz w:val="16"/>
          <w:szCs w:val="16"/>
          <w:lang w:eastAsia="ar-SA"/>
        </w:rPr>
        <w:t>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F4657B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1A2DC1"/>
    <w:rsid w:val="00271F0C"/>
    <w:rsid w:val="002931BE"/>
    <w:rsid w:val="002A187D"/>
    <w:rsid w:val="004A0794"/>
    <w:rsid w:val="00547A8C"/>
    <w:rsid w:val="005A4EFA"/>
    <w:rsid w:val="00767DDE"/>
    <w:rsid w:val="007B37B3"/>
    <w:rsid w:val="008412C3"/>
    <w:rsid w:val="00951FE4"/>
    <w:rsid w:val="00995636"/>
    <w:rsid w:val="00A943EC"/>
    <w:rsid w:val="00AD1589"/>
    <w:rsid w:val="00E14A39"/>
    <w:rsid w:val="00E56D58"/>
    <w:rsid w:val="00E60822"/>
    <w:rsid w:val="00EE0198"/>
    <w:rsid w:val="00F4657B"/>
    <w:rsid w:val="00F7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Олеся</cp:lastModifiedBy>
  <cp:revision>2</cp:revision>
  <cp:lastPrinted>2016-04-01T04:55:00Z</cp:lastPrinted>
  <dcterms:created xsi:type="dcterms:W3CDTF">2016-07-04T08:24:00Z</dcterms:created>
  <dcterms:modified xsi:type="dcterms:W3CDTF">2016-07-04T08:24:00Z</dcterms:modified>
</cp:coreProperties>
</file>