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E242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46A9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bookmarkStart w:id="1" w:name="_GoBack"/>
      <w:bookmarkEnd w:id="1"/>
      <w:r w:rsidR="00A503A7" w:rsidRPr="00F46A9D">
        <w:rPr>
          <w:bCs/>
          <w:sz w:val="28"/>
          <w:szCs w:val="28"/>
        </w:rPr>
        <w:t>февраля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A503A7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503A7">
              <w:rPr>
                <w:rFonts w:eastAsia="Calibri"/>
                <w:spacing w:val="-4"/>
                <w:sz w:val="28"/>
                <w:szCs w:val="28"/>
                <w:lang w:eastAsia="en-US"/>
              </w:rPr>
              <w:t>7 480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53.8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A503A7">
              <w:rPr>
                <w:rFonts w:eastAsia="Calibri"/>
                <w:sz w:val="28"/>
                <w:szCs w:val="28"/>
                <w:lang w:eastAsia="en-US"/>
              </w:rPr>
              <w:t>2036,0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503A7">
              <w:rPr>
                <w:rFonts w:eastAsia="Calibri"/>
                <w:spacing w:val="-4"/>
                <w:sz w:val="28"/>
                <w:szCs w:val="28"/>
                <w:lang w:eastAsia="en-US"/>
              </w:rPr>
              <w:t>6045,9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70.1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A503A7">
              <w:rPr>
                <w:rFonts w:eastAsia="Calibri"/>
                <w:sz w:val="28"/>
                <w:szCs w:val="28"/>
                <w:lang w:eastAsia="en-US"/>
              </w:rPr>
              <w:t>1946,0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A503A7">
              <w:rPr>
                <w:color w:val="000000"/>
                <w:spacing w:val="-4"/>
                <w:kern w:val="2"/>
                <w:sz w:val="28"/>
                <w:szCs w:val="28"/>
              </w:rPr>
              <w:t>143</w:t>
            </w:r>
            <w:r w:rsidR="00A73F09" w:rsidRPr="00A73F09">
              <w:rPr>
                <w:color w:val="000000"/>
                <w:spacing w:val="-4"/>
                <w:kern w:val="2"/>
                <w:sz w:val="28"/>
                <w:szCs w:val="28"/>
              </w:rPr>
              <w:t>4.4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A73F09" w:rsidRPr="00A73F09">
              <w:rPr>
                <w:color w:val="000000"/>
                <w:kern w:val="2"/>
                <w:sz w:val="28"/>
                <w:szCs w:val="28"/>
              </w:rPr>
              <w:t>583.7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  </w:t>
            </w:r>
            <w:r w:rsidR="00A503A7">
              <w:rPr>
                <w:color w:val="000000"/>
                <w:kern w:val="2"/>
                <w:sz w:val="28"/>
                <w:szCs w:val="28"/>
              </w:rPr>
              <w:t>90</w:t>
            </w:r>
            <w:r w:rsidRPr="00B36AB0">
              <w:rPr>
                <w:color w:val="000000"/>
                <w:kern w:val="2"/>
                <w:sz w:val="28"/>
                <w:szCs w:val="28"/>
              </w:rPr>
              <w:t>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</w:t>
            </w:r>
            <w:r w:rsidRPr="00481838">
              <w:rPr>
                <w:sz w:val="18"/>
                <w:szCs w:val="18"/>
              </w:rPr>
              <w:lastRenderedPageBreak/>
              <w:t xml:space="preserve">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481838">
              <w:rPr>
                <w:sz w:val="18"/>
                <w:szCs w:val="18"/>
              </w:rPr>
              <w:lastRenderedPageBreak/>
              <w:t>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503A7" w:rsidP="00A73F09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7480,3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</w:rPr>
              <w:t>32</w:t>
            </w:r>
            <w:r w:rsidR="00A73F09">
              <w:rPr>
                <w:spacing w:val="-6"/>
                <w:sz w:val="18"/>
                <w:szCs w:val="18"/>
                <w:lang w:val="en-US"/>
              </w:rPr>
              <w:t>53.8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503A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2036,0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A503A7" w:rsidRDefault="00A503A7" w:rsidP="003A3DEA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5845,9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A503A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1946,0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73F0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C616F9" w:rsidRDefault="00A73F0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A503A7" w:rsidRDefault="00A503A7" w:rsidP="003A3DEA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5845,9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056792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A503A7" w:rsidRDefault="00A503A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1946,0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A503A7" w:rsidRDefault="00A503A7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A503A7" w:rsidP="00896542">
            <w:r>
              <w:rPr>
                <w:sz w:val="18"/>
                <w:szCs w:val="18"/>
              </w:rPr>
              <w:t>90,0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3A3DEA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3A3DEA" w:rsidP="00896542">
            <w:r>
              <w:rPr>
                <w:sz w:val="18"/>
                <w:szCs w:val="18"/>
              </w:rPr>
              <w:t>600,0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</w:t>
            </w:r>
            <w:r>
              <w:rPr>
                <w:kern w:val="2"/>
                <w:sz w:val="18"/>
                <w:szCs w:val="18"/>
              </w:rPr>
              <w:lastRenderedPageBreak/>
              <w:t>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73F09" w:rsidRDefault="00A503A7" w:rsidP="00FF42B5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7480,3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</w:rPr>
              <w:t>32</w:t>
            </w:r>
            <w:r w:rsidR="00A73F09">
              <w:rPr>
                <w:spacing w:val="-12"/>
                <w:lang w:val="en-US"/>
              </w:rPr>
              <w:t>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503A7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2036,0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503A7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7145,5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3A3DEA" w:rsidRDefault="003A3D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3253,8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503A7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2036,0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3</w:t>
            </w:r>
            <w:r w:rsidR="003A3DEA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  <w:lang w:val="en-US"/>
              </w:rPr>
              <w:t>99.9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</w:t>
            </w:r>
            <w:r w:rsidR="003A3DEA">
              <w:rPr>
                <w:spacing w:val="-12"/>
              </w:rPr>
              <w:t>6</w:t>
            </w:r>
            <w:r>
              <w:rPr>
                <w:spacing w:val="-12"/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3A3DEA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3565,1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A3DEA">
              <w:t>6</w:t>
            </w:r>
            <w:r>
              <w:rPr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503A7" w:rsidP="00896542">
            <w:pPr>
              <w:jc w:val="center"/>
            </w:pPr>
            <w:r>
              <w:t>2036,0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503A7" w:rsidRDefault="00A503A7" w:rsidP="00AA4E86">
            <w:pPr>
              <w:rPr>
                <w:kern w:val="2"/>
              </w:rPr>
            </w:pPr>
            <w:r>
              <w:rPr>
                <w:kern w:val="2"/>
              </w:rPr>
              <w:t>1634,4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583.7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503A7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73F0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F09" w:rsidRPr="00122691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lastRenderedPageBreak/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22" w:rsidRDefault="004E2422">
      <w:r>
        <w:separator/>
      </w:r>
    </w:p>
  </w:endnote>
  <w:endnote w:type="continuationSeparator" w:id="0">
    <w:p w:rsidR="004E2422" w:rsidRDefault="004E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4E242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46A9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4E242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46A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22" w:rsidRDefault="004E2422">
      <w:r>
        <w:separator/>
      </w:r>
    </w:p>
  </w:footnote>
  <w:footnote w:type="continuationSeparator" w:id="0">
    <w:p w:rsidR="004E2422" w:rsidRDefault="004E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A3DEA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7A25"/>
    <w:rsid w:val="004A4C56"/>
    <w:rsid w:val="004B24E9"/>
    <w:rsid w:val="004B782A"/>
    <w:rsid w:val="004D31E1"/>
    <w:rsid w:val="004E2422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47E82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07BD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B658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03A7"/>
    <w:rsid w:val="00A56E9D"/>
    <w:rsid w:val="00A73F09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E430C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01A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46A9D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F209E6-7400-4A37-9CB7-5674011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5CD3-3E8E-44D4-B3E8-325B7E1A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44</cp:revision>
  <cp:lastPrinted>2022-02-15T07:06:00Z</cp:lastPrinted>
  <dcterms:created xsi:type="dcterms:W3CDTF">2019-02-06T10:55:00Z</dcterms:created>
  <dcterms:modified xsi:type="dcterms:W3CDTF">2022-02-28T07:22:00Z</dcterms:modified>
</cp:coreProperties>
</file>