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96052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D46F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мая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21F2B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37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327857" w:rsidRPr="00327857">
              <w:rPr>
                <w:sz w:val="26"/>
                <w:szCs w:val="26"/>
              </w:rPr>
              <w:t>44</w:t>
            </w:r>
            <w:r w:rsidR="00327857">
              <w:rPr>
                <w:sz w:val="26"/>
                <w:szCs w:val="26"/>
                <w:lang w:val="en-US"/>
              </w:rPr>
              <w:t> </w:t>
            </w:r>
            <w:r w:rsidR="00327857" w:rsidRPr="00327857">
              <w:rPr>
                <w:sz w:val="26"/>
                <w:szCs w:val="26"/>
              </w:rPr>
              <w:t>036.0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1402"/>
              <w:gridCol w:w="1737"/>
              <w:gridCol w:w="156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327857" w:rsidRDefault="00327857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27857">
                    <w:rPr>
                      <w:sz w:val="26"/>
                      <w:szCs w:val="26"/>
                    </w:rPr>
                    <w:t>6456.8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327857" w:rsidRDefault="00327857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27857">
                    <w:rPr>
                      <w:sz w:val="26"/>
                      <w:szCs w:val="26"/>
                    </w:rPr>
                    <w:t>6456.8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621F2B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3466,7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621F2B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3466,7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327857" w:rsidRDefault="00723930" w:rsidP="0032785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327857">
                    <w:rPr>
                      <w:sz w:val="26"/>
                      <w:szCs w:val="26"/>
                      <w:lang w:val="en-US"/>
                    </w:rPr>
                    <w:t>44 036.0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327857" w:rsidRDefault="00327857" w:rsidP="00FA3496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44036.0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4338F" w:rsidRPr="0044338F">
              <w:rPr>
                <w:sz w:val="26"/>
                <w:szCs w:val="26"/>
              </w:rPr>
              <w:t>43 879.2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D45869" w:rsidRDefault="00621F2B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3466,7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621F2B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3466,7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327857" w:rsidRDefault="0044338F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43879.2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327857" w:rsidRDefault="0044338F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43 879.2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9D46F3">
      <w:pPr>
        <w:spacing w:line="252" w:lineRule="auto"/>
        <w:jc w:val="right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9D46F3">
      <w:pPr>
        <w:spacing w:line="252" w:lineRule="auto"/>
        <w:ind w:left="8505"/>
        <w:jc w:val="right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43 879.2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327857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43 879.2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327857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6456.8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43879.2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F2B58" w:rsidRDefault="004A169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43 879.2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621F2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21F2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85424E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041C93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jc w:val="center"/>
            </w:pPr>
            <w:r>
              <w:rPr>
                <w:sz w:val="16"/>
                <w:szCs w:val="16"/>
              </w:rPr>
              <w:t>782,9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041C93" w:rsidP="0032785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327857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9D46F3">
      <w:pPr>
        <w:spacing w:line="252" w:lineRule="auto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bookmarkStart w:id="3" w:name="_GoBack"/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9D46F3">
      <w:pPr>
        <w:spacing w:line="252" w:lineRule="auto"/>
        <w:ind w:left="8505"/>
        <w:jc w:val="right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9D46F3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bookmarkEnd w:id="3"/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621F2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4A1690" w:rsidRDefault="00621F2B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621F2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4A1690" w:rsidRDefault="00621F2B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4A169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621F2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621F2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4A1690" w:rsidRDefault="00621F2B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24" w:rsidRDefault="00960524">
      <w:r>
        <w:separator/>
      </w:r>
    </w:p>
  </w:endnote>
  <w:endnote w:type="continuationSeparator" w:id="0">
    <w:p w:rsidR="00960524" w:rsidRDefault="0096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9605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46F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9605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46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24" w:rsidRDefault="00960524">
      <w:r>
        <w:separator/>
      </w:r>
    </w:p>
  </w:footnote>
  <w:footnote w:type="continuationSeparator" w:id="0">
    <w:p w:rsidR="00960524" w:rsidRDefault="0096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9EE"/>
    <w:rsid w:val="00021C7F"/>
    <w:rsid w:val="000232C7"/>
    <w:rsid w:val="000309AE"/>
    <w:rsid w:val="00033D02"/>
    <w:rsid w:val="00041C93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1F2B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0524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D46F3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7027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D3356-4B10-426F-8AC3-30EB03FA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4C0D-51DF-4C95-8071-C02DD91C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51</cp:revision>
  <cp:lastPrinted>2020-12-11T11:29:00Z</cp:lastPrinted>
  <dcterms:created xsi:type="dcterms:W3CDTF">2019-02-06T10:55:00Z</dcterms:created>
  <dcterms:modified xsi:type="dcterms:W3CDTF">2021-05-13T11:27:00Z</dcterms:modified>
</cp:coreProperties>
</file>