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F271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30B3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r w:rsidR="00873936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4B7C" w:rsidRPr="00867807">
        <w:rPr>
          <w:bCs/>
          <w:sz w:val="28"/>
          <w:szCs w:val="28"/>
        </w:rPr>
        <w:t>2</w:t>
      </w:r>
      <w:r w:rsidR="00867807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bookmarkStart w:id="1" w:name="_GoBack"/>
      <w:bookmarkEnd w:id="1"/>
      <w:r w:rsidR="00656493" w:rsidRPr="00122691">
        <w:rPr>
          <w:bCs/>
          <w:sz w:val="28"/>
          <w:szCs w:val="28"/>
        </w:rPr>
        <w:t>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112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867807">
              <w:rPr>
                <w:sz w:val="28"/>
                <w:szCs w:val="28"/>
              </w:rPr>
              <w:t>14 533,5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304B7C" w:rsidRPr="00304B7C">
              <w:rPr>
                <w:sz w:val="28"/>
                <w:szCs w:val="28"/>
              </w:rPr>
              <w:t>1505.4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304B7C" w:rsidRPr="00304B7C">
              <w:rPr>
                <w:sz w:val="28"/>
                <w:szCs w:val="28"/>
              </w:rPr>
              <w:t>1425.6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304B7C" w:rsidRPr="00304B7C">
              <w:rPr>
                <w:sz w:val="28"/>
                <w:szCs w:val="28"/>
              </w:rPr>
              <w:t>1033.9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867807">
              <w:rPr>
                <w:sz w:val="28"/>
                <w:szCs w:val="28"/>
              </w:rPr>
              <w:t>1932,3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67807">
              <w:rPr>
                <w:sz w:val="28"/>
                <w:szCs w:val="28"/>
              </w:rPr>
              <w:t>2022,3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867807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867807">
              <w:rPr>
                <w:sz w:val="28"/>
                <w:szCs w:val="28"/>
              </w:rPr>
              <w:t>14 224,2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AB17A0">
              <w:rPr>
                <w:sz w:val="28"/>
                <w:szCs w:val="28"/>
              </w:rPr>
              <w:t>1</w:t>
            </w:r>
            <w:r w:rsidR="00304B7C">
              <w:rPr>
                <w:sz w:val="28"/>
                <w:szCs w:val="28"/>
              </w:rPr>
              <w:t> </w:t>
            </w:r>
            <w:r w:rsidR="00304B7C" w:rsidRPr="00867807">
              <w:rPr>
                <w:sz w:val="28"/>
                <w:szCs w:val="28"/>
              </w:rPr>
              <w:t>505.4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304B7C" w:rsidRPr="00304B7C">
              <w:rPr>
                <w:sz w:val="28"/>
                <w:szCs w:val="28"/>
              </w:rPr>
              <w:t>1425.6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304B7C" w:rsidRPr="00304B7C">
              <w:rPr>
                <w:sz w:val="28"/>
                <w:szCs w:val="28"/>
              </w:rPr>
              <w:t>1033.9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867807">
              <w:rPr>
                <w:sz w:val="28"/>
                <w:szCs w:val="28"/>
              </w:rPr>
              <w:t>1932,3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67807">
              <w:rPr>
                <w:sz w:val="28"/>
                <w:szCs w:val="28"/>
              </w:rPr>
              <w:t>1822,3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867807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867807">
              <w:rPr>
                <w:sz w:val="28"/>
                <w:szCs w:val="28"/>
              </w:rPr>
              <w:t>309</w:t>
            </w:r>
            <w:r w:rsidR="00304B7C" w:rsidRPr="00304B7C">
              <w:rPr>
                <w:sz w:val="28"/>
                <w:szCs w:val="28"/>
              </w:rPr>
              <w:t>.3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304B7C" w:rsidRPr="00304B7C">
              <w:rPr>
                <w:sz w:val="28"/>
                <w:szCs w:val="28"/>
              </w:rPr>
              <w:t>80.5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304B7C" w:rsidRPr="00304B7C">
              <w:rPr>
                <w:sz w:val="28"/>
                <w:szCs w:val="28"/>
              </w:rPr>
              <w:t>118.8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867807">
              <w:rPr>
                <w:sz w:val="28"/>
                <w:szCs w:val="28"/>
              </w:rPr>
              <w:t>110,0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D04E36" w:rsidRDefault="00D04E36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14533,5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1076,4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2095,2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867807" w:rsidP="0099555B">
            <w:r>
              <w:rPr>
                <w:sz w:val="20"/>
                <w:szCs w:val="20"/>
              </w:rPr>
              <w:t>1932,3</w:t>
            </w:r>
          </w:p>
        </w:tc>
        <w:tc>
          <w:tcPr>
            <w:tcW w:w="850" w:type="dxa"/>
          </w:tcPr>
          <w:p w:rsidR="00576818" w:rsidRDefault="00867807" w:rsidP="0099555B">
            <w:r>
              <w:rPr>
                <w:sz w:val="20"/>
                <w:szCs w:val="20"/>
              </w:rPr>
              <w:t>2022,3</w:t>
            </w:r>
          </w:p>
        </w:tc>
        <w:tc>
          <w:tcPr>
            <w:tcW w:w="851" w:type="dxa"/>
          </w:tcPr>
          <w:p w:rsidR="00576818" w:rsidRDefault="00867807" w:rsidP="0099555B">
            <w:r>
              <w:rPr>
                <w:sz w:val="20"/>
                <w:szCs w:val="20"/>
              </w:rPr>
              <w:t>2098,6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304B7C" w:rsidRDefault="00304B7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9815.4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1003.8</w:t>
            </w:r>
          </w:p>
        </w:tc>
        <w:tc>
          <w:tcPr>
            <w:tcW w:w="708" w:type="dxa"/>
          </w:tcPr>
          <w:p w:rsidR="00B047F1" w:rsidRPr="00304B7C" w:rsidRDefault="00304B7C" w:rsidP="00576198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1033.9</w:t>
            </w:r>
          </w:p>
        </w:tc>
        <w:tc>
          <w:tcPr>
            <w:tcW w:w="710" w:type="dxa"/>
          </w:tcPr>
          <w:p w:rsidR="00B047F1" w:rsidRPr="00867807" w:rsidRDefault="00867807" w:rsidP="00576198">
            <w:r>
              <w:rPr>
                <w:sz w:val="20"/>
                <w:szCs w:val="20"/>
              </w:rPr>
              <w:t>1480,7</w:t>
            </w:r>
          </w:p>
        </w:tc>
        <w:tc>
          <w:tcPr>
            <w:tcW w:w="850" w:type="dxa"/>
          </w:tcPr>
          <w:p w:rsidR="00B047F1" w:rsidRDefault="00867807" w:rsidP="00576198">
            <w:r>
              <w:rPr>
                <w:sz w:val="20"/>
                <w:szCs w:val="20"/>
              </w:rPr>
              <w:t>1897,8</w:t>
            </w:r>
          </w:p>
        </w:tc>
        <w:tc>
          <w:tcPr>
            <w:tcW w:w="851" w:type="dxa"/>
          </w:tcPr>
          <w:p w:rsidR="00B047F1" w:rsidRDefault="00867807" w:rsidP="00576198">
            <w:r>
              <w:rPr>
                <w:sz w:val="20"/>
                <w:szCs w:val="20"/>
              </w:rPr>
              <w:t>1974,1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867807" w:rsidRDefault="00867807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66.2</w:t>
            </w:r>
          </w:p>
        </w:tc>
        <w:tc>
          <w:tcPr>
            <w:tcW w:w="709" w:type="dxa"/>
          </w:tcPr>
          <w:p w:rsidR="00B047F1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38.0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867807" w:rsidP="00576198">
            <w:r>
              <w:rPr>
                <w:bCs/>
                <w:sz w:val="20"/>
                <w:szCs w:val="20"/>
              </w:rPr>
              <w:t>60,6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1.3 на содержание </w:t>
            </w:r>
            <w:r w:rsidRPr="00E23DDB">
              <w:rPr>
                <w:sz w:val="20"/>
                <w:szCs w:val="20"/>
              </w:rPr>
              <w:lastRenderedPageBreak/>
              <w:t>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867807" w:rsidRDefault="00867807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236,7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708" w:type="dxa"/>
          </w:tcPr>
          <w:p w:rsidR="00576818" w:rsidRPr="00304B7C" w:rsidRDefault="00304B7C" w:rsidP="0057619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57.4</w:t>
            </w:r>
          </w:p>
        </w:tc>
        <w:tc>
          <w:tcPr>
            <w:tcW w:w="709" w:type="dxa"/>
          </w:tcPr>
          <w:p w:rsidR="00576818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35.0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867807" w:rsidP="0099555B">
            <w:r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304B7C" w:rsidRDefault="00304B7C" w:rsidP="008678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 w:rsidR="0086780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  <w:lang w:val="en-US"/>
              </w:rPr>
              <w:t>4.9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78,8</w:t>
            </w:r>
          </w:p>
        </w:tc>
        <w:tc>
          <w:tcPr>
            <w:tcW w:w="708" w:type="dxa"/>
          </w:tcPr>
          <w:p w:rsidR="00576818" w:rsidRPr="00304B7C" w:rsidRDefault="00304B7C" w:rsidP="0057619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326.1</w:t>
            </w:r>
          </w:p>
        </w:tc>
        <w:tc>
          <w:tcPr>
            <w:tcW w:w="709" w:type="dxa"/>
          </w:tcPr>
          <w:p w:rsidR="00576818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130.0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867807" w:rsidP="0099555B"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304B7C" w:rsidRDefault="00D04E3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682,8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80.5</w:t>
            </w:r>
          </w:p>
        </w:tc>
        <w:tc>
          <w:tcPr>
            <w:tcW w:w="709" w:type="dxa"/>
          </w:tcPr>
          <w:p w:rsidR="00AB17A0" w:rsidRPr="00304B7C" w:rsidRDefault="00304B7C" w:rsidP="00BC04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708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867807" w:rsidP="00BC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  <w:tc>
          <w:tcPr>
            <w:tcW w:w="850" w:type="dxa"/>
          </w:tcPr>
          <w:p w:rsidR="00AB17A0" w:rsidRPr="00E23DDB" w:rsidRDefault="00867807" w:rsidP="00BC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851" w:type="dxa"/>
          </w:tcPr>
          <w:p w:rsidR="00AB17A0" w:rsidRPr="00E23DDB" w:rsidRDefault="00867807" w:rsidP="00BC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Pr="00B521F2">
        <w:rPr>
          <w:sz w:val="28"/>
          <w:szCs w:val="28"/>
        </w:rPr>
        <w:t xml:space="preserve"> не ранее </w:t>
      </w:r>
      <w:r w:rsidRPr="008F1412">
        <w:rPr>
          <w:sz w:val="28"/>
          <w:szCs w:val="28"/>
        </w:rPr>
        <w:t xml:space="preserve"> 01</w:t>
      </w:r>
      <w:r>
        <w:rPr>
          <w:sz w:val="28"/>
          <w:szCs w:val="28"/>
        </w:rPr>
        <w:t>.</w:t>
      </w:r>
      <w:r w:rsidRPr="008F1412">
        <w:rPr>
          <w:sz w:val="28"/>
          <w:szCs w:val="28"/>
        </w:rPr>
        <w:t>01.202</w:t>
      </w:r>
      <w:r w:rsidR="00867807">
        <w:rPr>
          <w:sz w:val="28"/>
          <w:szCs w:val="28"/>
        </w:rPr>
        <w:t>3</w:t>
      </w:r>
      <w:r w:rsidRPr="008F141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Pr="00F8214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867807">
        <w:rPr>
          <w:sz w:val="28"/>
          <w:szCs w:val="28"/>
        </w:rPr>
        <w:t>3</w:t>
      </w:r>
      <w:r w:rsidRPr="00F821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86780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6780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1B" w:rsidRDefault="00DF271B">
      <w:r>
        <w:separator/>
      </w:r>
    </w:p>
  </w:endnote>
  <w:endnote w:type="continuationSeparator" w:id="0">
    <w:p w:rsidR="00DF271B" w:rsidRDefault="00D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F2" w:rsidRDefault="00DF27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0B3C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F2" w:rsidRDefault="00B521F2" w:rsidP="00656493">
    <w:pPr>
      <w:pStyle w:val="a6"/>
      <w:ind w:right="360"/>
    </w:pPr>
  </w:p>
  <w:p w:rsidR="00B521F2" w:rsidRDefault="00DF27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21F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1B" w:rsidRDefault="00DF271B">
      <w:r>
        <w:separator/>
      </w:r>
    </w:p>
  </w:footnote>
  <w:footnote w:type="continuationSeparator" w:id="0">
    <w:p w:rsidR="00DF271B" w:rsidRDefault="00DF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2F64A2"/>
    <w:rsid w:val="00304B7C"/>
    <w:rsid w:val="00307789"/>
    <w:rsid w:val="00307D7B"/>
    <w:rsid w:val="00354CD6"/>
    <w:rsid w:val="00360C0E"/>
    <w:rsid w:val="0037664F"/>
    <w:rsid w:val="00380AFA"/>
    <w:rsid w:val="00386B7B"/>
    <w:rsid w:val="00393650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807"/>
    <w:rsid w:val="00867E50"/>
    <w:rsid w:val="00873936"/>
    <w:rsid w:val="00875669"/>
    <w:rsid w:val="00877428"/>
    <w:rsid w:val="00877748"/>
    <w:rsid w:val="008822BB"/>
    <w:rsid w:val="00896151"/>
    <w:rsid w:val="00896819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1410C"/>
    <w:rsid w:val="00C30A8B"/>
    <w:rsid w:val="00C30B3C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4E36"/>
    <w:rsid w:val="00D068C7"/>
    <w:rsid w:val="00D20BEF"/>
    <w:rsid w:val="00D24A7A"/>
    <w:rsid w:val="00D44E67"/>
    <w:rsid w:val="00D5333F"/>
    <w:rsid w:val="00D5684A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271B"/>
    <w:rsid w:val="00DF4214"/>
    <w:rsid w:val="00DF7B00"/>
    <w:rsid w:val="00E07615"/>
    <w:rsid w:val="00E10E28"/>
    <w:rsid w:val="00E10FEC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D2821"/>
    <w:rsid w:val="00EF2A49"/>
    <w:rsid w:val="00EF435F"/>
    <w:rsid w:val="00F0076B"/>
    <w:rsid w:val="00F11571"/>
    <w:rsid w:val="00F1181F"/>
    <w:rsid w:val="00F11C23"/>
    <w:rsid w:val="00F322FC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B230F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1DADA-437D-4E82-A2E7-5AA606D5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1DC6-58E6-40D3-8EFC-B4074F4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46</cp:revision>
  <cp:lastPrinted>2019-11-15T11:05:00Z</cp:lastPrinted>
  <dcterms:created xsi:type="dcterms:W3CDTF">2019-02-06T10:55:00Z</dcterms:created>
  <dcterms:modified xsi:type="dcterms:W3CDTF">2022-12-13T07:52:00Z</dcterms:modified>
</cp:coreProperties>
</file>