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F2A9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857B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</w:t>
      </w:r>
      <w:r w:rsidR="00025F64">
        <w:rPr>
          <w:bCs/>
          <w:sz w:val="28"/>
          <w:szCs w:val="28"/>
        </w:rPr>
        <w:t>ию</w:t>
      </w:r>
      <w:r>
        <w:rPr>
          <w:bCs/>
          <w:sz w:val="28"/>
          <w:szCs w:val="28"/>
        </w:rPr>
        <w:t>л</w:t>
      </w:r>
      <w:bookmarkStart w:id="1" w:name="_GoBack"/>
      <w:bookmarkEnd w:id="1"/>
      <w:r w:rsidR="00025F64">
        <w:rPr>
          <w:bCs/>
          <w:sz w:val="28"/>
          <w:szCs w:val="28"/>
        </w:rPr>
        <w:t>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2637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71</w:t>
      </w:r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263794">
              <w:rPr>
                <w:sz w:val="26"/>
                <w:szCs w:val="26"/>
              </w:rPr>
              <w:t>56</w:t>
            </w:r>
            <w:r w:rsidR="00025F64">
              <w:rPr>
                <w:sz w:val="26"/>
                <w:szCs w:val="26"/>
              </w:rPr>
              <w:t> 305,8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025F64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025F6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025F64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56305,8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025F64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56305,8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025F64">
              <w:rPr>
                <w:sz w:val="26"/>
                <w:szCs w:val="26"/>
              </w:rPr>
              <w:t>56305,8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025F6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025F6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947" w:type="dxa"/>
                </w:tcPr>
                <w:p w:rsidR="00325AD3" w:rsidRDefault="00325AD3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025F64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56305,8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025F64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56305,8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025F6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325AD3" w:rsidP="004A1690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025F64" w:rsidP="004A1690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5AD3" w:rsidRDefault="00325AD3" w:rsidP="00091A79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325AD3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D3" w:rsidRDefault="00325AD3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992781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025F64" w:rsidP="00325AD3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025F64" w:rsidP="00325AD3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F2B58" w:rsidRDefault="00325AD3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025F64" w:rsidP="00325AD3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025F64" w:rsidP="00091A79">
            <w:r>
              <w:rPr>
                <w:sz w:val="16"/>
                <w:szCs w:val="16"/>
              </w:rPr>
              <w:t>5824,0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5165,4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4931,4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r>
              <w:rPr>
                <w:sz w:val="16"/>
                <w:szCs w:val="16"/>
              </w:rPr>
              <w:t>872,5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02CF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C05DB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025F64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E1044C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025F64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E1044C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025F64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E1044C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92" w:rsidRDefault="004F2A92">
      <w:r>
        <w:separator/>
      </w:r>
    </w:p>
  </w:endnote>
  <w:endnote w:type="continuationSeparator" w:id="0">
    <w:p w:rsidR="004F2A92" w:rsidRDefault="004F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D3" w:rsidRDefault="004F2A9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857B2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D3" w:rsidRDefault="00325AD3" w:rsidP="00656493">
    <w:pPr>
      <w:pStyle w:val="a6"/>
      <w:ind w:right="360"/>
    </w:pPr>
  </w:p>
  <w:p w:rsidR="00325AD3" w:rsidRDefault="004F2A9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857B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92" w:rsidRDefault="004F2A92">
      <w:r>
        <w:separator/>
      </w:r>
    </w:p>
  </w:footnote>
  <w:footnote w:type="continuationSeparator" w:id="0">
    <w:p w:rsidR="004F2A92" w:rsidRDefault="004F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25F64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5AD3"/>
    <w:rsid w:val="00327857"/>
    <w:rsid w:val="00354CD6"/>
    <w:rsid w:val="00360C0E"/>
    <w:rsid w:val="00386B7B"/>
    <w:rsid w:val="00392C61"/>
    <w:rsid w:val="003938E5"/>
    <w:rsid w:val="003D508E"/>
    <w:rsid w:val="003E3A89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57B2"/>
    <w:rsid w:val="00487C32"/>
    <w:rsid w:val="004A1690"/>
    <w:rsid w:val="004A4C56"/>
    <w:rsid w:val="004B782A"/>
    <w:rsid w:val="004C2538"/>
    <w:rsid w:val="004D31E1"/>
    <w:rsid w:val="004D562B"/>
    <w:rsid w:val="004E706F"/>
    <w:rsid w:val="004F2A92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317"/>
    <w:rsid w:val="007E34A8"/>
    <w:rsid w:val="007E72A7"/>
    <w:rsid w:val="008121A8"/>
    <w:rsid w:val="00815756"/>
    <w:rsid w:val="008160C4"/>
    <w:rsid w:val="00827797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130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5056BE-F96B-4129-BC0C-69222B1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A0F9-835A-4ABD-9DA6-DE52CE0F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87</cp:revision>
  <cp:lastPrinted>2022-12-08T05:25:00Z</cp:lastPrinted>
  <dcterms:created xsi:type="dcterms:W3CDTF">2019-02-06T10:55:00Z</dcterms:created>
  <dcterms:modified xsi:type="dcterms:W3CDTF">2023-07-11T12:48:00Z</dcterms:modified>
</cp:coreProperties>
</file>