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11E2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F71BC3" w:rsidRDefault="00656493" w:rsidP="00656493">
      <w:pPr>
        <w:pStyle w:val="1"/>
        <w:spacing w:before="120"/>
        <w:rPr>
          <w:bCs/>
          <w:sz w:val="28"/>
          <w:szCs w:val="28"/>
        </w:rPr>
      </w:pPr>
      <w:r w:rsidRPr="00F71BC3">
        <w:rPr>
          <w:bCs/>
          <w:sz w:val="28"/>
          <w:szCs w:val="28"/>
        </w:rPr>
        <w:t>ПОСТАНОВЛЕНИЕ</w:t>
      </w:r>
    </w:p>
    <w:p w:rsidR="00656493" w:rsidRPr="00122691" w:rsidRDefault="00F71BC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</w:t>
      </w:r>
      <w:r w:rsidR="001603B1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л</w:t>
      </w:r>
      <w:r w:rsidR="001603B1">
        <w:rPr>
          <w:bCs/>
          <w:sz w:val="28"/>
          <w:szCs w:val="28"/>
        </w:rPr>
        <w:t>я</w:t>
      </w:r>
      <w:r w:rsidR="000D2B59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1603B1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</w:t>
      </w:r>
      <w:r w:rsidR="008E5688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74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снижение удельных показателей потребления электрической энергии, тепловой энергии и воды, </w:t>
            </w:r>
            <w:r w:rsidRPr="00E13F9C">
              <w:rPr>
                <w:sz w:val="28"/>
                <w:szCs w:val="28"/>
              </w:rPr>
              <w:lastRenderedPageBreak/>
              <w:t>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1603B1">
              <w:rPr>
                <w:bCs/>
                <w:sz w:val="28"/>
                <w:szCs w:val="28"/>
              </w:rPr>
              <w:t>601,5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1603B1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муниципальной 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1603B1">
              <w:rPr>
                <w:bCs/>
                <w:sz w:val="28"/>
                <w:szCs w:val="28"/>
              </w:rPr>
              <w:t>601,5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1603B1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F71BC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 xml:space="preserve"> </w:t>
      </w:r>
      <w:r w:rsidR="004C39A3" w:rsidRPr="004C39A3">
        <w:rPr>
          <w:kern w:val="2"/>
          <w:sz w:val="20"/>
          <w:szCs w:val="20"/>
        </w:rPr>
        <w:t>Приложение № 3</w:t>
      </w:r>
    </w:p>
    <w:p w:rsidR="004C39A3" w:rsidRPr="004C39A3" w:rsidRDefault="00F71BC3" w:rsidP="004C39A3">
      <w:pPr>
        <w:ind w:left="10773" w:firstLine="4395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</w:t>
      </w:r>
      <w:r w:rsidR="004C39A3" w:rsidRPr="004C39A3">
        <w:rPr>
          <w:kern w:val="2"/>
          <w:sz w:val="20"/>
          <w:szCs w:val="20"/>
        </w:rPr>
        <w:t xml:space="preserve">к муниципальной программе </w:t>
      </w:r>
    </w:p>
    <w:p w:rsidR="004C39A3" w:rsidRPr="004C39A3" w:rsidRDefault="00F71BC3" w:rsidP="004C39A3">
      <w:pPr>
        <w:ind w:left="10773" w:firstLine="4395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</w:t>
      </w:r>
      <w:bookmarkStart w:id="2" w:name="_GoBack"/>
      <w:bookmarkEnd w:id="2"/>
      <w:r w:rsidR="004C39A3" w:rsidRPr="004C39A3">
        <w:rPr>
          <w:kern w:val="2"/>
          <w:sz w:val="20"/>
          <w:szCs w:val="20"/>
        </w:rPr>
        <w:t>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197"/>
        <w:gridCol w:w="1226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F71BC3">
        <w:trPr>
          <w:trHeight w:val="672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F71BC3">
        <w:trPr>
          <w:trHeight w:val="903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1603B1">
            <w:r>
              <w:rPr>
                <w:bCs/>
                <w:color w:val="000000"/>
              </w:rPr>
              <w:t xml:space="preserve"> </w:t>
            </w:r>
            <w:r w:rsidR="001603B1"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F71BC3">
      <w:pPr>
        <w:ind w:right="85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1603B1">
            <w:r>
              <w:rPr>
                <w:bCs/>
                <w:color w:val="000000"/>
              </w:rPr>
              <w:t xml:space="preserve">     </w:t>
            </w:r>
            <w:r w:rsidR="001603B1"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1603B1" w:rsidP="00E32C3B">
            <w:r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1603B1" w:rsidP="00E32C3B">
            <w:r>
              <w:rPr>
                <w:bCs/>
                <w:color w:val="000000"/>
              </w:rPr>
              <w:t>601,5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1603B1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1603B1" w:rsidP="00E32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1603B1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38"/>
        <w:gridCol w:w="1309"/>
        <w:gridCol w:w="1113"/>
        <w:gridCol w:w="1017"/>
        <w:gridCol w:w="1017"/>
        <w:gridCol w:w="919"/>
        <w:gridCol w:w="919"/>
        <w:gridCol w:w="1016"/>
        <w:gridCol w:w="919"/>
        <w:gridCol w:w="919"/>
        <w:gridCol w:w="1016"/>
        <w:gridCol w:w="1017"/>
        <w:gridCol w:w="918"/>
        <w:gridCol w:w="1017"/>
        <w:gridCol w:w="101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F71BC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</w:t>
            </w:r>
            <w:r w:rsidRPr="000713BF">
              <w:rPr>
                <w:color w:val="000000"/>
              </w:rPr>
              <w:lastRenderedPageBreak/>
              <w:t>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1603B1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1603B1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1603B1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1603B1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603B1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1603B1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F71BC3">
      <w:footerReference w:type="default" r:id="rId9"/>
      <w:footerReference w:type="first" r:id="rId10"/>
      <w:pgSz w:w="16840" w:h="11907" w:orient="landscape" w:code="9"/>
      <w:pgMar w:top="1304" w:right="113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24" w:rsidRDefault="00411E24">
      <w:r>
        <w:separator/>
      </w:r>
    </w:p>
  </w:endnote>
  <w:endnote w:type="continuationSeparator" w:id="0">
    <w:p w:rsidR="00411E24" w:rsidRDefault="0041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411E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71BC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411E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24" w:rsidRDefault="00411E24">
      <w:r>
        <w:separator/>
      </w:r>
    </w:p>
  </w:footnote>
  <w:footnote w:type="continuationSeparator" w:id="0">
    <w:p w:rsidR="00411E24" w:rsidRDefault="0041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603B1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11E24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341AE"/>
    <w:rsid w:val="00745BA5"/>
    <w:rsid w:val="00751E2A"/>
    <w:rsid w:val="007563F3"/>
    <w:rsid w:val="007574E2"/>
    <w:rsid w:val="00761361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50F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1859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E67FE"/>
    <w:rsid w:val="00DF4214"/>
    <w:rsid w:val="00DF7B00"/>
    <w:rsid w:val="00E07615"/>
    <w:rsid w:val="00E10E28"/>
    <w:rsid w:val="00E23870"/>
    <w:rsid w:val="00E2695A"/>
    <w:rsid w:val="00E3125A"/>
    <w:rsid w:val="00E32C3B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1BC3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7140F-3024-4BD2-859A-8FC6191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4660-D6C3-4C95-8947-D9563C5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71</cp:revision>
  <cp:lastPrinted>2022-12-08T06:05:00Z</cp:lastPrinted>
  <dcterms:created xsi:type="dcterms:W3CDTF">2019-02-06T10:55:00Z</dcterms:created>
  <dcterms:modified xsi:type="dcterms:W3CDTF">2023-07-11T12:54:00Z</dcterms:modified>
</cp:coreProperties>
</file>